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FD" w:rsidRDefault="00DB7FFD" w:rsidP="00024A7E">
      <w:pPr>
        <w:jc w:val="center"/>
        <w:rPr>
          <w:rFonts w:ascii="Open Sans" w:hAnsi="Open Sans" w:cs="Open Sans"/>
        </w:rPr>
      </w:pPr>
    </w:p>
    <w:p w:rsidR="00EC6FB7" w:rsidRDefault="00024A7E" w:rsidP="00024A7E">
      <w:pPr>
        <w:jc w:val="center"/>
        <w:rPr>
          <w:rFonts w:ascii="Open Sans" w:hAnsi="Open Sans" w:cs="Open Sans"/>
          <w:b/>
        </w:rPr>
      </w:pPr>
      <w:r w:rsidRPr="00EC6FB7">
        <w:rPr>
          <w:rFonts w:ascii="Open Sans" w:hAnsi="Open Sans" w:cs="Open Sans"/>
          <w:b/>
        </w:rPr>
        <w:t>Great</w:t>
      </w:r>
      <w:r w:rsidR="00EC6FB7" w:rsidRPr="00EC6FB7">
        <w:rPr>
          <w:rFonts w:ascii="Open Sans" w:hAnsi="Open Sans" w:cs="Open Sans"/>
          <w:b/>
        </w:rPr>
        <w:t xml:space="preserve">er Vancouver Board of Trade </w:t>
      </w:r>
    </w:p>
    <w:p w:rsidR="00567020" w:rsidRPr="00EC6FB7" w:rsidRDefault="00EC6FB7" w:rsidP="00EC6FB7">
      <w:pPr>
        <w:jc w:val="center"/>
        <w:rPr>
          <w:rFonts w:ascii="Open Sans" w:hAnsi="Open Sans" w:cs="Open Sans"/>
          <w:b/>
        </w:rPr>
      </w:pPr>
      <w:r w:rsidRPr="00EC6FB7">
        <w:rPr>
          <w:rFonts w:ascii="Open Sans" w:hAnsi="Open Sans" w:cs="Open Sans"/>
          <w:b/>
        </w:rPr>
        <w:t xml:space="preserve">2018-19 </w:t>
      </w:r>
      <w:r w:rsidR="00024A7E" w:rsidRPr="00EC6FB7">
        <w:rPr>
          <w:rFonts w:ascii="Open Sans" w:hAnsi="Open Sans" w:cs="Open Sans"/>
          <w:b/>
        </w:rPr>
        <w:t xml:space="preserve">Provincial Budget Priorities </w:t>
      </w:r>
    </w:p>
    <w:p w:rsidR="00024A7E" w:rsidRDefault="00024A7E" w:rsidP="00024A7E">
      <w:pPr>
        <w:rPr>
          <w:rFonts w:ascii="Open Sans" w:hAnsi="Open Sans" w:cs="Open Sans"/>
          <w:sz w:val="22"/>
          <w:szCs w:val="22"/>
        </w:rPr>
      </w:pPr>
    </w:p>
    <w:p w:rsidR="00024A7E" w:rsidRDefault="00024A7E" w:rsidP="00024A7E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On February 20</w:t>
      </w:r>
      <w:r w:rsidR="00EC6FB7">
        <w:rPr>
          <w:rFonts w:ascii="Open Sans" w:hAnsi="Open Sans" w:cs="Open Sans"/>
          <w:sz w:val="22"/>
          <w:szCs w:val="22"/>
        </w:rPr>
        <w:t>, 2018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201CDE"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z w:val="22"/>
          <w:szCs w:val="22"/>
        </w:rPr>
        <w:t>Government of British Col</w:t>
      </w:r>
      <w:r w:rsidR="00EC6FB7">
        <w:rPr>
          <w:rFonts w:ascii="Open Sans" w:hAnsi="Open Sans" w:cs="Open Sans"/>
          <w:sz w:val="22"/>
          <w:szCs w:val="22"/>
        </w:rPr>
        <w:t>umbia will be releasing the 2018-19</w:t>
      </w:r>
      <w:r>
        <w:rPr>
          <w:rFonts w:ascii="Open Sans" w:hAnsi="Open Sans" w:cs="Open Sans"/>
          <w:sz w:val="22"/>
          <w:szCs w:val="22"/>
        </w:rPr>
        <w:t xml:space="preserve"> Provincial </w:t>
      </w:r>
      <w:r w:rsidR="00201CDE">
        <w:rPr>
          <w:rFonts w:ascii="Open Sans" w:hAnsi="Open Sans" w:cs="Open Sans"/>
          <w:sz w:val="22"/>
          <w:szCs w:val="22"/>
        </w:rPr>
        <w:t>Bu</w:t>
      </w:r>
      <w:r>
        <w:rPr>
          <w:rFonts w:ascii="Open Sans" w:hAnsi="Open Sans" w:cs="Open Sans"/>
          <w:sz w:val="22"/>
          <w:szCs w:val="22"/>
        </w:rPr>
        <w:t xml:space="preserve">dget. As </w:t>
      </w:r>
      <w:r w:rsidR="00D15614">
        <w:rPr>
          <w:rFonts w:ascii="Open Sans" w:hAnsi="Open Sans" w:cs="Open Sans"/>
          <w:sz w:val="22"/>
          <w:szCs w:val="22"/>
        </w:rPr>
        <w:t>this is the</w:t>
      </w:r>
      <w:r>
        <w:rPr>
          <w:rFonts w:ascii="Open Sans" w:hAnsi="Open Sans" w:cs="Open Sans"/>
          <w:sz w:val="22"/>
          <w:szCs w:val="22"/>
        </w:rPr>
        <w:t xml:space="preserve"> new government’s first full budget, the Greater Vancouver Board of Trade (the “GVBOT”) is keenly </w:t>
      </w:r>
      <w:r w:rsidR="00D15614">
        <w:rPr>
          <w:rFonts w:ascii="Open Sans" w:hAnsi="Open Sans" w:cs="Open Sans"/>
          <w:sz w:val="22"/>
          <w:szCs w:val="22"/>
        </w:rPr>
        <w:t>anticipating its content,</w:t>
      </w:r>
      <w:r w:rsidR="009C796F">
        <w:rPr>
          <w:rFonts w:ascii="Open Sans" w:hAnsi="Open Sans" w:cs="Open Sans"/>
          <w:sz w:val="22"/>
          <w:szCs w:val="22"/>
        </w:rPr>
        <w:t xml:space="preserve"> and the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E544D6">
        <w:rPr>
          <w:rFonts w:ascii="Open Sans" w:hAnsi="Open Sans" w:cs="Open Sans"/>
          <w:noProof/>
          <w:sz w:val="22"/>
          <w:szCs w:val="22"/>
        </w:rPr>
        <w:t>implications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9C796F">
        <w:rPr>
          <w:rFonts w:ascii="Open Sans" w:hAnsi="Open Sans" w:cs="Open Sans"/>
          <w:sz w:val="22"/>
          <w:szCs w:val="22"/>
        </w:rPr>
        <w:t>it will have on</w:t>
      </w:r>
      <w:r>
        <w:rPr>
          <w:rFonts w:ascii="Open Sans" w:hAnsi="Open Sans" w:cs="Open Sans"/>
          <w:sz w:val="22"/>
          <w:szCs w:val="22"/>
        </w:rPr>
        <w:t xml:space="preserve"> our </w:t>
      </w:r>
      <w:r w:rsidRPr="00E544D6">
        <w:rPr>
          <w:rFonts w:ascii="Open Sans" w:hAnsi="Open Sans" w:cs="Open Sans"/>
          <w:noProof/>
          <w:sz w:val="22"/>
          <w:szCs w:val="22"/>
        </w:rPr>
        <w:t>provincial</w:t>
      </w:r>
      <w:r>
        <w:rPr>
          <w:rFonts w:ascii="Open Sans" w:hAnsi="Open Sans" w:cs="Open Sans"/>
          <w:sz w:val="22"/>
          <w:szCs w:val="22"/>
        </w:rPr>
        <w:t xml:space="preserve"> and regional business community. </w:t>
      </w:r>
    </w:p>
    <w:p w:rsidR="00024A7E" w:rsidRDefault="00024A7E" w:rsidP="00024A7E">
      <w:pPr>
        <w:rPr>
          <w:rFonts w:ascii="Open Sans" w:hAnsi="Open Sans" w:cs="Open Sans"/>
          <w:sz w:val="22"/>
          <w:szCs w:val="22"/>
        </w:rPr>
      </w:pPr>
    </w:p>
    <w:p w:rsidR="00024A7E" w:rsidRPr="00D15614" w:rsidRDefault="009C796F" w:rsidP="00D15614">
      <w:pPr>
        <w:pStyle w:val="Heading1"/>
        <w:spacing w:before="120"/>
        <w:rPr>
          <w:rFonts w:asciiTheme="minorHAnsi" w:hAnsiTheme="minorHAnsi"/>
          <w:b/>
          <w:color w:val="00B0F0"/>
          <w:sz w:val="28"/>
          <w:szCs w:val="28"/>
        </w:rPr>
      </w:pPr>
      <w:r w:rsidRPr="00D15614">
        <w:rPr>
          <w:rFonts w:asciiTheme="minorHAnsi" w:hAnsiTheme="minorHAnsi"/>
          <w:b/>
          <w:color w:val="00B0F0"/>
          <w:sz w:val="28"/>
          <w:szCs w:val="28"/>
        </w:rPr>
        <w:t>GVBOT Priorities:</w:t>
      </w:r>
    </w:p>
    <w:p w:rsidR="009C796F" w:rsidRPr="00D15614" w:rsidRDefault="00024A7E" w:rsidP="00D15614">
      <w:pPr>
        <w:pStyle w:val="Heading1"/>
        <w:numPr>
          <w:ilvl w:val="0"/>
          <w:numId w:val="22"/>
        </w:numPr>
        <w:ind w:left="0" w:firstLine="0"/>
        <w:rPr>
          <w:rFonts w:asciiTheme="minorHAnsi" w:hAnsiTheme="minorHAnsi"/>
          <w:b/>
          <w:color w:val="00B0F0"/>
          <w:sz w:val="26"/>
          <w:szCs w:val="26"/>
        </w:rPr>
      </w:pPr>
      <w:r w:rsidRPr="00D15614">
        <w:rPr>
          <w:rFonts w:asciiTheme="minorHAnsi" w:hAnsiTheme="minorHAnsi"/>
          <w:b/>
          <w:color w:val="00B0F0"/>
          <w:sz w:val="26"/>
          <w:szCs w:val="26"/>
        </w:rPr>
        <w:t xml:space="preserve">Fiscal Prudence </w:t>
      </w:r>
    </w:p>
    <w:p w:rsidR="009C796F" w:rsidRDefault="009C796F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One of the top priorities of the Greater Vancouver</w:t>
      </w:r>
      <w:r w:rsidR="00D15614">
        <w:rPr>
          <w:rFonts w:ascii="Open Sans" w:hAnsi="Open Sans" w:cs="Open Sans"/>
          <w:sz w:val="22"/>
          <w:szCs w:val="22"/>
        </w:rPr>
        <w:t xml:space="preserve"> Board of Trade </w:t>
      </w:r>
      <w:r>
        <w:rPr>
          <w:rFonts w:ascii="Open Sans" w:hAnsi="Open Sans" w:cs="Open Sans"/>
          <w:sz w:val="22"/>
          <w:szCs w:val="22"/>
        </w:rPr>
        <w:t>is the long-term financial health of our province</w:t>
      </w:r>
      <w:r w:rsidRPr="009C796F">
        <w:rPr>
          <w:rFonts w:ascii="Open Sans" w:hAnsi="Open Sans" w:cs="Open Sans"/>
          <w:sz w:val="22"/>
          <w:szCs w:val="22"/>
        </w:rPr>
        <w:t xml:space="preserve">. Our </w:t>
      </w:r>
      <w:r w:rsidRPr="00E544D6">
        <w:rPr>
          <w:rFonts w:ascii="Open Sans" w:hAnsi="Open Sans" w:cs="Open Sans"/>
          <w:noProof/>
          <w:sz w:val="22"/>
          <w:szCs w:val="22"/>
        </w:rPr>
        <w:t>organi</w:t>
      </w:r>
      <w:r w:rsidR="00E544D6">
        <w:rPr>
          <w:rFonts w:ascii="Open Sans" w:hAnsi="Open Sans" w:cs="Open Sans"/>
          <w:noProof/>
          <w:sz w:val="22"/>
          <w:szCs w:val="22"/>
        </w:rPr>
        <w:t>s</w:t>
      </w:r>
      <w:r w:rsidRPr="00E544D6">
        <w:rPr>
          <w:rFonts w:ascii="Open Sans" w:hAnsi="Open Sans" w:cs="Open Sans"/>
          <w:noProof/>
          <w:sz w:val="22"/>
          <w:szCs w:val="22"/>
        </w:rPr>
        <w:t>ation</w:t>
      </w:r>
      <w:r w:rsidRPr="009C796F">
        <w:rPr>
          <w:rFonts w:ascii="Open Sans" w:hAnsi="Open Sans" w:cs="Open Sans"/>
          <w:sz w:val="22"/>
          <w:szCs w:val="22"/>
        </w:rPr>
        <w:t xml:space="preserve"> </w:t>
      </w:r>
      <w:r w:rsidRPr="00E544D6">
        <w:rPr>
          <w:rFonts w:ascii="Open Sans" w:hAnsi="Open Sans" w:cs="Open Sans"/>
          <w:noProof/>
          <w:sz w:val="22"/>
          <w:szCs w:val="22"/>
        </w:rPr>
        <w:t>recogni</w:t>
      </w:r>
      <w:r w:rsidR="00E544D6">
        <w:rPr>
          <w:rFonts w:ascii="Open Sans" w:hAnsi="Open Sans" w:cs="Open Sans"/>
          <w:noProof/>
          <w:sz w:val="22"/>
          <w:szCs w:val="22"/>
        </w:rPr>
        <w:t>s</w:t>
      </w:r>
      <w:r w:rsidRPr="00E544D6">
        <w:rPr>
          <w:rFonts w:ascii="Open Sans" w:hAnsi="Open Sans" w:cs="Open Sans"/>
          <w:noProof/>
          <w:sz w:val="22"/>
          <w:szCs w:val="22"/>
        </w:rPr>
        <w:t>es</w:t>
      </w:r>
      <w:r w:rsidRPr="009C796F">
        <w:rPr>
          <w:rFonts w:ascii="Open Sans" w:hAnsi="Open Sans" w:cs="Open Sans"/>
          <w:sz w:val="22"/>
          <w:szCs w:val="22"/>
        </w:rPr>
        <w:t xml:space="preserve"> that B.C.’s taxpayer-supported debt–to-GDP ratio and AAA credit rating compare very well to those of the other Canadian </w:t>
      </w:r>
      <w:r w:rsidRPr="00E544D6">
        <w:rPr>
          <w:rFonts w:ascii="Open Sans" w:hAnsi="Open Sans" w:cs="Open Sans"/>
          <w:noProof/>
          <w:sz w:val="22"/>
          <w:szCs w:val="22"/>
        </w:rPr>
        <w:t>provinces</w:t>
      </w:r>
      <w:r w:rsidRPr="009C796F">
        <w:rPr>
          <w:rFonts w:ascii="Open Sans" w:hAnsi="Open Sans" w:cs="Open Sans"/>
          <w:sz w:val="22"/>
          <w:szCs w:val="22"/>
        </w:rPr>
        <w:t xml:space="preserve">. </w:t>
      </w:r>
      <w:r w:rsidR="00E544D6">
        <w:rPr>
          <w:rFonts w:ascii="Open Sans" w:hAnsi="Open Sans" w:cs="Open Sans"/>
          <w:sz w:val="22"/>
          <w:szCs w:val="22"/>
        </w:rPr>
        <w:t xml:space="preserve">The </w:t>
      </w:r>
      <w:r w:rsidR="00D15614">
        <w:rPr>
          <w:rFonts w:ascii="Open Sans" w:hAnsi="Open Sans" w:cs="Open Sans"/>
          <w:noProof/>
          <w:sz w:val="22"/>
          <w:szCs w:val="22"/>
        </w:rPr>
        <w:t>P</w:t>
      </w:r>
      <w:r w:rsidR="00E544D6" w:rsidRPr="00E544D6">
        <w:rPr>
          <w:rFonts w:ascii="Open Sans" w:hAnsi="Open Sans" w:cs="Open Sans"/>
          <w:noProof/>
          <w:sz w:val="22"/>
          <w:szCs w:val="22"/>
        </w:rPr>
        <w:t>rovince</w:t>
      </w:r>
      <w:r w:rsidR="00E544D6">
        <w:rPr>
          <w:rFonts w:ascii="Open Sans" w:hAnsi="Open Sans" w:cs="Open Sans"/>
          <w:sz w:val="22"/>
          <w:szCs w:val="22"/>
        </w:rPr>
        <w:t xml:space="preserve"> must actively safeguard </w:t>
      </w:r>
      <w:r w:rsidR="00E544D6">
        <w:rPr>
          <w:rFonts w:ascii="Open Sans" w:hAnsi="Open Sans" w:cs="Open Sans"/>
          <w:noProof/>
          <w:sz w:val="22"/>
          <w:szCs w:val="22"/>
        </w:rPr>
        <w:t>this enviable position</w:t>
      </w:r>
      <w:r w:rsidRPr="009C796F">
        <w:rPr>
          <w:rFonts w:ascii="Open Sans" w:hAnsi="Open Sans" w:cs="Open Sans"/>
          <w:sz w:val="22"/>
          <w:szCs w:val="22"/>
        </w:rPr>
        <w:t xml:space="preserve">. B.C.’s debt-to-GDP </w:t>
      </w:r>
      <w:r w:rsidRPr="00E544D6">
        <w:rPr>
          <w:rFonts w:ascii="Open Sans" w:hAnsi="Open Sans" w:cs="Open Sans"/>
          <w:noProof/>
          <w:sz w:val="22"/>
          <w:szCs w:val="22"/>
        </w:rPr>
        <w:t>ratio</w:t>
      </w:r>
      <w:r w:rsidRPr="009C796F">
        <w:rPr>
          <w:rFonts w:ascii="Open Sans" w:hAnsi="Open Sans" w:cs="Open Sans"/>
          <w:sz w:val="22"/>
          <w:szCs w:val="22"/>
        </w:rPr>
        <w:t xml:space="preserve"> is expected to </w:t>
      </w:r>
      <w:r>
        <w:rPr>
          <w:rFonts w:ascii="Open Sans" w:hAnsi="Open Sans" w:cs="Open Sans"/>
          <w:sz w:val="22"/>
          <w:szCs w:val="22"/>
        </w:rPr>
        <w:t>remain just around</w:t>
      </w:r>
      <w:r w:rsidRPr="009C796F">
        <w:rPr>
          <w:rFonts w:ascii="Open Sans" w:hAnsi="Open Sans" w:cs="Open Sans"/>
          <w:sz w:val="22"/>
          <w:szCs w:val="22"/>
        </w:rPr>
        <w:t xml:space="preserve"> 16 </w:t>
      </w:r>
      <w:r w:rsidRPr="00E544D6">
        <w:rPr>
          <w:rFonts w:ascii="Open Sans" w:hAnsi="Open Sans" w:cs="Open Sans"/>
          <w:noProof/>
          <w:sz w:val="22"/>
          <w:szCs w:val="22"/>
        </w:rPr>
        <w:t>per cent</w:t>
      </w:r>
      <w:r w:rsidRPr="009C796F">
        <w:rPr>
          <w:rFonts w:ascii="Open Sans" w:hAnsi="Open Sans" w:cs="Open Sans"/>
          <w:sz w:val="22"/>
          <w:szCs w:val="22"/>
        </w:rPr>
        <w:t xml:space="preserve">, amongst the </w:t>
      </w:r>
      <w:r w:rsidR="00D15614">
        <w:rPr>
          <w:rFonts w:ascii="Open Sans" w:hAnsi="Open Sans" w:cs="Open Sans"/>
          <w:sz w:val="22"/>
          <w:szCs w:val="22"/>
        </w:rPr>
        <w:t xml:space="preserve">lowest </w:t>
      </w:r>
      <w:r w:rsidRPr="009C796F">
        <w:rPr>
          <w:rFonts w:ascii="Open Sans" w:hAnsi="Open Sans" w:cs="Open Sans"/>
          <w:sz w:val="22"/>
          <w:szCs w:val="22"/>
        </w:rPr>
        <w:t xml:space="preserve">in Canada. </w:t>
      </w:r>
      <w:r>
        <w:rPr>
          <w:rFonts w:ascii="Open Sans" w:hAnsi="Open Sans" w:cs="Open Sans"/>
          <w:sz w:val="22"/>
          <w:szCs w:val="22"/>
        </w:rPr>
        <w:t xml:space="preserve">Given the </w:t>
      </w:r>
      <w:r w:rsidR="00E544D6">
        <w:rPr>
          <w:rFonts w:ascii="Open Sans" w:hAnsi="Open Sans" w:cs="Open Sans"/>
          <w:noProof/>
          <w:sz w:val="22"/>
          <w:szCs w:val="22"/>
        </w:rPr>
        <w:t>healthy</w:t>
      </w:r>
      <w:r>
        <w:rPr>
          <w:rFonts w:ascii="Open Sans" w:hAnsi="Open Sans" w:cs="Open Sans"/>
          <w:sz w:val="22"/>
          <w:szCs w:val="22"/>
        </w:rPr>
        <w:t xml:space="preserve"> economic </w:t>
      </w:r>
      <w:r w:rsidR="00E544D6">
        <w:rPr>
          <w:rFonts w:ascii="Open Sans" w:hAnsi="Open Sans" w:cs="Open Sans"/>
          <w:noProof/>
          <w:sz w:val="22"/>
          <w:szCs w:val="22"/>
        </w:rPr>
        <w:t>situa</w:t>
      </w:r>
      <w:r w:rsidRPr="00E544D6">
        <w:rPr>
          <w:rFonts w:ascii="Open Sans" w:hAnsi="Open Sans" w:cs="Open Sans"/>
          <w:noProof/>
          <w:sz w:val="22"/>
          <w:szCs w:val="22"/>
        </w:rPr>
        <w:t>tion</w:t>
      </w:r>
      <w:r>
        <w:rPr>
          <w:rFonts w:ascii="Open Sans" w:hAnsi="Open Sans" w:cs="Open Sans"/>
          <w:sz w:val="22"/>
          <w:szCs w:val="22"/>
        </w:rPr>
        <w:t xml:space="preserve"> of our province, t</w:t>
      </w:r>
      <w:r w:rsidRPr="009C796F">
        <w:rPr>
          <w:rFonts w:ascii="Open Sans" w:hAnsi="Open Sans" w:cs="Open Sans"/>
          <w:sz w:val="22"/>
          <w:szCs w:val="22"/>
        </w:rPr>
        <w:t xml:space="preserve">he </w:t>
      </w:r>
      <w:r w:rsidR="00201CDE">
        <w:rPr>
          <w:rFonts w:ascii="Open Sans" w:hAnsi="Open Sans" w:cs="Open Sans"/>
          <w:sz w:val="22"/>
          <w:szCs w:val="22"/>
        </w:rPr>
        <w:t>GVBOT</w:t>
      </w:r>
      <w:r w:rsidRPr="009C796F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expects the provincial government</w:t>
      </w:r>
      <w:r w:rsidRPr="009C796F">
        <w:rPr>
          <w:rFonts w:ascii="Open Sans" w:hAnsi="Open Sans" w:cs="Open Sans"/>
          <w:sz w:val="22"/>
          <w:szCs w:val="22"/>
        </w:rPr>
        <w:t xml:space="preserve"> </w:t>
      </w:r>
      <w:r w:rsidR="00DF2C9D">
        <w:rPr>
          <w:rFonts w:ascii="Open Sans" w:hAnsi="Open Sans" w:cs="Open Sans"/>
          <w:sz w:val="22"/>
          <w:szCs w:val="22"/>
        </w:rPr>
        <w:t xml:space="preserve">to </w:t>
      </w:r>
      <w:r w:rsidRPr="009C796F">
        <w:rPr>
          <w:rFonts w:ascii="Open Sans" w:hAnsi="Open Sans" w:cs="Open Sans"/>
          <w:sz w:val="22"/>
          <w:szCs w:val="22"/>
        </w:rPr>
        <w:t xml:space="preserve">pursue prudent fiscal management, discipline, and </w:t>
      </w:r>
      <w:r>
        <w:rPr>
          <w:rFonts w:ascii="Open Sans" w:hAnsi="Open Sans" w:cs="Open Sans"/>
          <w:sz w:val="22"/>
          <w:szCs w:val="22"/>
        </w:rPr>
        <w:t>a commitment to</w:t>
      </w:r>
      <w:r w:rsidRPr="009C796F">
        <w:rPr>
          <w:rFonts w:ascii="Open Sans" w:hAnsi="Open Sans" w:cs="Open Sans"/>
          <w:sz w:val="22"/>
          <w:szCs w:val="22"/>
        </w:rPr>
        <w:t xml:space="preserve"> </w:t>
      </w:r>
      <w:r w:rsidR="00D15614">
        <w:rPr>
          <w:rFonts w:ascii="Open Sans" w:hAnsi="Open Sans" w:cs="Open Sans"/>
          <w:sz w:val="22"/>
          <w:szCs w:val="22"/>
        </w:rPr>
        <w:t xml:space="preserve">managing </w:t>
      </w:r>
      <w:r w:rsidRPr="009C796F">
        <w:rPr>
          <w:rFonts w:ascii="Open Sans" w:hAnsi="Open Sans" w:cs="Open Sans"/>
          <w:sz w:val="22"/>
          <w:szCs w:val="22"/>
        </w:rPr>
        <w:t>spending growth in the delivery of core services</w:t>
      </w:r>
      <w:r>
        <w:rPr>
          <w:rFonts w:ascii="Open Sans" w:hAnsi="Open Sans" w:cs="Open Sans"/>
          <w:sz w:val="22"/>
          <w:szCs w:val="22"/>
        </w:rPr>
        <w:t>.</w:t>
      </w:r>
    </w:p>
    <w:p w:rsidR="009C796F" w:rsidRDefault="009C796F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9C796F" w:rsidRPr="00D15614" w:rsidRDefault="009C796F" w:rsidP="00D15614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 fiscally prudent budget manages </w:t>
      </w:r>
      <w:r w:rsidRPr="00E544D6">
        <w:rPr>
          <w:rFonts w:ascii="Open Sans" w:hAnsi="Open Sans" w:cs="Open Sans"/>
          <w:noProof/>
          <w:sz w:val="22"/>
          <w:szCs w:val="22"/>
        </w:rPr>
        <w:t>spending</w:t>
      </w:r>
      <w:r>
        <w:rPr>
          <w:rFonts w:ascii="Open Sans" w:hAnsi="Open Sans" w:cs="Open Sans"/>
          <w:sz w:val="22"/>
          <w:szCs w:val="22"/>
        </w:rPr>
        <w:t xml:space="preserve"> while ensuring taxation stays at</w:t>
      </w:r>
      <w:r w:rsidR="00201CDE">
        <w:rPr>
          <w:rFonts w:ascii="Open Sans" w:hAnsi="Open Sans" w:cs="Open Sans"/>
          <w:sz w:val="22"/>
          <w:szCs w:val="22"/>
        </w:rPr>
        <w:t xml:space="preserve"> a responsible level </w:t>
      </w:r>
      <w:r w:rsidR="00D15614">
        <w:rPr>
          <w:rFonts w:ascii="Open Sans" w:hAnsi="Open Sans" w:cs="Open Sans"/>
          <w:sz w:val="22"/>
          <w:szCs w:val="22"/>
        </w:rPr>
        <w:t>that</w:t>
      </w:r>
      <w:r w:rsidR="00201CDE">
        <w:rPr>
          <w:rFonts w:ascii="Open Sans" w:hAnsi="Open Sans" w:cs="Open Sans"/>
          <w:sz w:val="22"/>
          <w:szCs w:val="22"/>
        </w:rPr>
        <w:t xml:space="preserve"> does not undermine our economic competitiveness. </w:t>
      </w:r>
    </w:p>
    <w:p w:rsidR="00DF2C9D" w:rsidRPr="00D15614" w:rsidRDefault="00DF2C9D" w:rsidP="00D15614">
      <w:pPr>
        <w:pStyle w:val="Heading1"/>
        <w:numPr>
          <w:ilvl w:val="0"/>
          <w:numId w:val="22"/>
        </w:numPr>
        <w:ind w:left="0" w:firstLine="0"/>
        <w:rPr>
          <w:rFonts w:asciiTheme="minorHAnsi" w:hAnsiTheme="minorHAnsi"/>
          <w:b/>
          <w:color w:val="00B0F0"/>
          <w:sz w:val="26"/>
          <w:szCs w:val="26"/>
        </w:rPr>
      </w:pPr>
      <w:r w:rsidRPr="00D15614">
        <w:rPr>
          <w:rFonts w:asciiTheme="minorHAnsi" w:hAnsiTheme="minorHAnsi"/>
          <w:b/>
          <w:color w:val="00B0F0"/>
          <w:sz w:val="26"/>
          <w:szCs w:val="26"/>
        </w:rPr>
        <w:t>Cumulative Impacts on</w:t>
      </w:r>
      <w:r w:rsidR="00024A7E" w:rsidRPr="00D15614">
        <w:rPr>
          <w:rFonts w:asciiTheme="minorHAnsi" w:hAnsiTheme="minorHAnsi"/>
          <w:b/>
          <w:color w:val="00B0F0"/>
          <w:sz w:val="26"/>
          <w:szCs w:val="26"/>
        </w:rPr>
        <w:t xml:space="preserve"> Business </w:t>
      </w:r>
    </w:p>
    <w:p w:rsidR="00DF2C9D" w:rsidRDefault="00DF2C9D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</w:t>
      </w:r>
      <w:r w:rsidR="00D15614">
        <w:rPr>
          <w:rFonts w:ascii="Open Sans" w:hAnsi="Open Sans" w:cs="Open Sans"/>
          <w:sz w:val="22"/>
          <w:szCs w:val="22"/>
        </w:rPr>
        <w:t>ne aspect of the B</w:t>
      </w:r>
      <w:r>
        <w:rPr>
          <w:rFonts w:ascii="Open Sans" w:hAnsi="Open Sans" w:cs="Open Sans"/>
          <w:sz w:val="22"/>
          <w:szCs w:val="22"/>
        </w:rPr>
        <w:t xml:space="preserve">udget </w:t>
      </w:r>
      <w:r w:rsidR="00D15614">
        <w:rPr>
          <w:rFonts w:ascii="Open Sans" w:hAnsi="Open Sans" w:cs="Open Sans"/>
          <w:sz w:val="22"/>
          <w:szCs w:val="22"/>
        </w:rPr>
        <w:t xml:space="preserve">to </w:t>
      </w:r>
      <w:r>
        <w:rPr>
          <w:rFonts w:ascii="Open Sans" w:hAnsi="Open Sans" w:cs="Open Sans"/>
          <w:sz w:val="22"/>
          <w:szCs w:val="22"/>
        </w:rPr>
        <w:t xml:space="preserve">which we will be paying particular attention will be its </w:t>
      </w: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>cumulative impacts on the cost</w:t>
      </w:r>
      <w:r w:rsidR="00201CDE">
        <w:rPr>
          <w:rFonts w:ascii="Open Sans" w:hAnsi="Open Sans" w:cs="Open Sans"/>
          <w:sz w:val="22"/>
          <w:szCs w:val="22"/>
        </w:rPr>
        <w:t xml:space="preserve"> and ease</w:t>
      </w:r>
      <w:r>
        <w:rPr>
          <w:rFonts w:ascii="Open Sans" w:hAnsi="Open Sans" w:cs="Open Sans"/>
          <w:sz w:val="22"/>
          <w:szCs w:val="22"/>
        </w:rPr>
        <w:t xml:space="preserve"> of doing business in the province. </w:t>
      </w:r>
    </w:p>
    <w:p w:rsidR="00DF2C9D" w:rsidRDefault="00DF2C9D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B05580" w:rsidRDefault="00DF2C9D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Individually, small changes to the tax system, minimum wage, carbon tax and other regulations may not be a significant detriment </w:t>
      </w:r>
      <w:r w:rsidR="00E544D6">
        <w:rPr>
          <w:rFonts w:ascii="Open Sans" w:hAnsi="Open Sans" w:cs="Open Sans"/>
          <w:sz w:val="22"/>
          <w:szCs w:val="22"/>
        </w:rPr>
        <w:t xml:space="preserve">to our economy. However, many </w:t>
      </w:r>
      <w:r w:rsidR="00B05580">
        <w:rPr>
          <w:rFonts w:ascii="Open Sans" w:hAnsi="Open Sans" w:cs="Open Sans"/>
          <w:sz w:val="22"/>
          <w:szCs w:val="22"/>
        </w:rPr>
        <w:t xml:space="preserve">small changes </w:t>
      </w:r>
      <w:r w:rsidR="00D15614">
        <w:rPr>
          <w:rFonts w:ascii="Open Sans" w:hAnsi="Open Sans" w:cs="Open Sans"/>
          <w:sz w:val="22"/>
          <w:szCs w:val="22"/>
        </w:rPr>
        <w:t>over a concentrated period of time</w:t>
      </w:r>
      <w:r w:rsidR="00E544D6">
        <w:rPr>
          <w:rFonts w:ascii="Open Sans" w:hAnsi="Open Sans" w:cs="Open Sans"/>
          <w:noProof/>
          <w:sz w:val="22"/>
          <w:szCs w:val="22"/>
        </w:rPr>
        <w:t xml:space="preserve"> can </w:t>
      </w:r>
      <w:r w:rsidR="00B05580">
        <w:rPr>
          <w:rFonts w:ascii="Open Sans" w:hAnsi="Open Sans" w:cs="Open Sans"/>
          <w:sz w:val="22"/>
          <w:szCs w:val="22"/>
        </w:rPr>
        <w:t xml:space="preserve">have </w:t>
      </w:r>
      <w:r w:rsidR="00D15614">
        <w:rPr>
          <w:rFonts w:ascii="Open Sans" w:hAnsi="Open Sans" w:cs="Open Sans"/>
          <w:sz w:val="22"/>
          <w:szCs w:val="22"/>
        </w:rPr>
        <w:t>a compound effect</w:t>
      </w:r>
      <w:r w:rsidR="00B05580">
        <w:rPr>
          <w:rFonts w:ascii="Open Sans" w:hAnsi="Open Sans" w:cs="Open Sans"/>
          <w:sz w:val="22"/>
          <w:szCs w:val="22"/>
        </w:rPr>
        <w:t xml:space="preserve"> </w:t>
      </w:r>
      <w:r w:rsidR="00D15614">
        <w:rPr>
          <w:rFonts w:ascii="Open Sans" w:hAnsi="Open Sans" w:cs="Open Sans"/>
          <w:sz w:val="22"/>
          <w:szCs w:val="22"/>
        </w:rPr>
        <w:t xml:space="preserve">on </w:t>
      </w:r>
      <w:r w:rsidR="00B05580">
        <w:rPr>
          <w:rFonts w:ascii="Open Sans" w:hAnsi="Open Sans" w:cs="Open Sans"/>
          <w:sz w:val="22"/>
          <w:szCs w:val="22"/>
        </w:rPr>
        <w:t xml:space="preserve">business. </w:t>
      </w:r>
      <w:r w:rsidR="00201CDE">
        <w:rPr>
          <w:rFonts w:ascii="Open Sans" w:hAnsi="Open Sans" w:cs="Open Sans"/>
          <w:sz w:val="22"/>
          <w:szCs w:val="22"/>
        </w:rPr>
        <w:t xml:space="preserve">While the provincial </w:t>
      </w:r>
      <w:r w:rsidR="00201CDE" w:rsidRPr="00E544D6">
        <w:rPr>
          <w:rFonts w:ascii="Open Sans" w:hAnsi="Open Sans" w:cs="Open Sans"/>
          <w:noProof/>
          <w:sz w:val="22"/>
          <w:szCs w:val="22"/>
        </w:rPr>
        <w:t>government</w:t>
      </w:r>
      <w:r w:rsidR="00E544D6">
        <w:rPr>
          <w:rFonts w:ascii="Open Sans" w:hAnsi="Open Sans" w:cs="Open Sans"/>
          <w:noProof/>
          <w:sz w:val="22"/>
          <w:szCs w:val="22"/>
        </w:rPr>
        <w:t>'</w:t>
      </w:r>
      <w:r w:rsidR="00201CDE" w:rsidRPr="00E544D6">
        <w:rPr>
          <w:rFonts w:ascii="Open Sans" w:hAnsi="Open Sans" w:cs="Open Sans"/>
          <w:noProof/>
          <w:sz w:val="22"/>
          <w:szCs w:val="22"/>
        </w:rPr>
        <w:t>s</w:t>
      </w:r>
      <w:r w:rsidR="00201CDE">
        <w:rPr>
          <w:rFonts w:ascii="Open Sans" w:hAnsi="Open Sans" w:cs="Open Sans"/>
          <w:sz w:val="22"/>
          <w:szCs w:val="22"/>
        </w:rPr>
        <w:t xml:space="preserve"> recent commitment to reduce the </w:t>
      </w:r>
      <w:r w:rsidR="00201CDE" w:rsidRPr="00E544D6">
        <w:rPr>
          <w:rFonts w:ascii="Open Sans" w:hAnsi="Open Sans" w:cs="Open Sans"/>
          <w:noProof/>
          <w:sz w:val="22"/>
          <w:szCs w:val="22"/>
        </w:rPr>
        <w:t>small</w:t>
      </w:r>
      <w:r w:rsidR="00201CDE">
        <w:rPr>
          <w:rFonts w:ascii="Open Sans" w:hAnsi="Open Sans" w:cs="Open Sans"/>
          <w:sz w:val="22"/>
          <w:szCs w:val="22"/>
        </w:rPr>
        <w:t xml:space="preserve"> business tax rate will help alleviate some of these pressures</w:t>
      </w:r>
      <w:r w:rsidR="00D15614">
        <w:rPr>
          <w:rFonts w:ascii="Open Sans" w:hAnsi="Open Sans" w:cs="Open Sans"/>
          <w:sz w:val="22"/>
          <w:szCs w:val="22"/>
        </w:rPr>
        <w:t xml:space="preserve"> on smaller businesses,</w:t>
      </w:r>
      <w:r w:rsidR="00201CDE">
        <w:rPr>
          <w:rFonts w:ascii="Open Sans" w:hAnsi="Open Sans" w:cs="Open Sans"/>
          <w:sz w:val="22"/>
          <w:szCs w:val="22"/>
        </w:rPr>
        <w:t xml:space="preserve"> </w:t>
      </w:r>
      <w:r w:rsidR="00D15614">
        <w:rPr>
          <w:rFonts w:ascii="Open Sans" w:hAnsi="Open Sans" w:cs="Open Sans"/>
          <w:sz w:val="22"/>
          <w:szCs w:val="22"/>
        </w:rPr>
        <w:t xml:space="preserve">on balance </w:t>
      </w:r>
      <w:r w:rsidR="00201CDE">
        <w:rPr>
          <w:rFonts w:ascii="Open Sans" w:hAnsi="Open Sans" w:cs="Open Sans"/>
          <w:sz w:val="22"/>
          <w:szCs w:val="22"/>
        </w:rPr>
        <w:t xml:space="preserve">we </w:t>
      </w:r>
      <w:r w:rsidR="00D15614">
        <w:rPr>
          <w:rFonts w:ascii="Open Sans" w:hAnsi="Open Sans" w:cs="Open Sans"/>
          <w:sz w:val="22"/>
          <w:szCs w:val="22"/>
        </w:rPr>
        <w:t>note</w:t>
      </w:r>
      <w:r w:rsidR="00201CDE">
        <w:rPr>
          <w:rFonts w:ascii="Open Sans" w:hAnsi="Open Sans" w:cs="Open Sans"/>
          <w:sz w:val="22"/>
          <w:szCs w:val="22"/>
        </w:rPr>
        <w:t xml:space="preserve"> a worrying trend. </w:t>
      </w:r>
    </w:p>
    <w:p w:rsidR="00B05580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DF2C9D" w:rsidRDefault="00E544D6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>We</w:t>
      </w:r>
      <w:r w:rsidR="00B05580" w:rsidRPr="00E544D6">
        <w:rPr>
          <w:rFonts w:ascii="Open Sans" w:hAnsi="Open Sans" w:cs="Open Sans"/>
          <w:noProof/>
          <w:sz w:val="22"/>
          <w:szCs w:val="22"/>
        </w:rPr>
        <w:t xml:space="preserve"> hope</w:t>
      </w:r>
      <w:r w:rsidR="00B05580">
        <w:rPr>
          <w:rFonts w:ascii="Open Sans" w:hAnsi="Open Sans" w:cs="Open Sans"/>
          <w:sz w:val="22"/>
          <w:szCs w:val="22"/>
        </w:rPr>
        <w:t xml:space="preserve"> that the provincial government shares </w:t>
      </w:r>
      <w:r w:rsidR="00201CDE">
        <w:rPr>
          <w:rFonts w:ascii="Open Sans" w:hAnsi="Open Sans" w:cs="Open Sans"/>
          <w:sz w:val="22"/>
          <w:szCs w:val="22"/>
        </w:rPr>
        <w:t>our</w:t>
      </w:r>
      <w:r w:rsidR="00B05580">
        <w:rPr>
          <w:rFonts w:ascii="Open Sans" w:hAnsi="Open Sans" w:cs="Open Sans"/>
          <w:sz w:val="22"/>
          <w:szCs w:val="22"/>
        </w:rPr>
        <w:t xml:space="preserve"> view in not assessing these policies in a vacuum. The layering on of costs and regulations at the local, regional, provincial, and national levels </w:t>
      </w:r>
      <w:r w:rsidR="00D15614">
        <w:rPr>
          <w:rFonts w:ascii="Open Sans" w:hAnsi="Open Sans" w:cs="Open Sans"/>
          <w:sz w:val="22"/>
          <w:szCs w:val="22"/>
        </w:rPr>
        <w:t>could hamper</w:t>
      </w:r>
      <w:r w:rsidR="00B05580">
        <w:rPr>
          <w:rFonts w:ascii="Open Sans" w:hAnsi="Open Sans" w:cs="Open Sans"/>
          <w:sz w:val="22"/>
          <w:szCs w:val="22"/>
        </w:rPr>
        <w:t xml:space="preserve"> the growth of our </w:t>
      </w:r>
      <w:r w:rsidR="00B05580" w:rsidRPr="00E544D6">
        <w:rPr>
          <w:rFonts w:ascii="Open Sans" w:hAnsi="Open Sans" w:cs="Open Sans"/>
          <w:noProof/>
          <w:sz w:val="22"/>
          <w:szCs w:val="22"/>
        </w:rPr>
        <w:t>economy</w:t>
      </w:r>
      <w:r w:rsidR="00B05580">
        <w:rPr>
          <w:rFonts w:ascii="Open Sans" w:hAnsi="Open Sans" w:cs="Open Sans"/>
          <w:sz w:val="22"/>
          <w:szCs w:val="22"/>
        </w:rPr>
        <w:t xml:space="preserve"> and limit the ability of businesses to attract the talent and capital necessary to build a more prosperous economy.</w:t>
      </w:r>
    </w:p>
    <w:p w:rsidR="00DF2C9D" w:rsidRDefault="00DF2C9D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DF2C9D" w:rsidRPr="00D15614" w:rsidRDefault="00DF2C9D" w:rsidP="00D15614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We will be</w:t>
      </w:r>
      <w:r w:rsidR="00D15614">
        <w:rPr>
          <w:rFonts w:ascii="Open Sans" w:hAnsi="Open Sans" w:cs="Open Sans"/>
          <w:sz w:val="22"/>
          <w:szCs w:val="22"/>
        </w:rPr>
        <w:t xml:space="preserve"> taking a holistic view of the 2018-19 B</w:t>
      </w:r>
      <w:r>
        <w:rPr>
          <w:rFonts w:ascii="Open Sans" w:hAnsi="Open Sans" w:cs="Open Sans"/>
          <w:sz w:val="22"/>
          <w:szCs w:val="22"/>
        </w:rPr>
        <w:t xml:space="preserve">udget to </w:t>
      </w:r>
      <w:r w:rsidR="00D15614">
        <w:rPr>
          <w:rFonts w:ascii="Open Sans" w:hAnsi="Open Sans" w:cs="Open Sans"/>
          <w:sz w:val="22"/>
          <w:szCs w:val="22"/>
        </w:rPr>
        <w:t>assess</w:t>
      </w:r>
      <w:r w:rsidR="00B05580">
        <w:rPr>
          <w:rFonts w:ascii="Open Sans" w:hAnsi="Open Sans" w:cs="Open Sans"/>
          <w:sz w:val="22"/>
          <w:szCs w:val="22"/>
        </w:rPr>
        <w:t xml:space="preserve"> how the provincial</w:t>
      </w:r>
      <w:r w:rsidR="00D15614">
        <w:rPr>
          <w:rFonts w:ascii="Open Sans" w:hAnsi="Open Sans" w:cs="Open Sans"/>
          <w:sz w:val="22"/>
          <w:szCs w:val="22"/>
        </w:rPr>
        <w:t xml:space="preserve"> government’s plans help or hinder the ability of businesses around the Greater Vancouver region </w:t>
      </w:r>
      <w:r w:rsidR="00B05580">
        <w:rPr>
          <w:rFonts w:ascii="Open Sans" w:hAnsi="Open Sans" w:cs="Open Sans"/>
          <w:sz w:val="22"/>
          <w:szCs w:val="22"/>
        </w:rPr>
        <w:t xml:space="preserve">to </w:t>
      </w:r>
      <w:r w:rsidR="00D15614">
        <w:rPr>
          <w:rFonts w:ascii="Open Sans" w:hAnsi="Open Sans" w:cs="Open Sans"/>
          <w:sz w:val="22"/>
          <w:szCs w:val="22"/>
        </w:rPr>
        <w:t>maintain a strong foundation in an expensive jurisdiction, to have opportunities to grow, and to create sustainable jobs</w:t>
      </w:r>
      <w:r w:rsidR="00B05580">
        <w:rPr>
          <w:rFonts w:ascii="Open Sans" w:hAnsi="Open Sans" w:cs="Open Sans"/>
          <w:sz w:val="22"/>
          <w:szCs w:val="22"/>
        </w:rPr>
        <w:t xml:space="preserve"> </w:t>
      </w:r>
      <w:r w:rsidR="00D15614">
        <w:rPr>
          <w:rFonts w:ascii="Open Sans" w:hAnsi="Open Sans" w:cs="Open Sans"/>
          <w:sz w:val="22"/>
          <w:szCs w:val="22"/>
        </w:rPr>
        <w:t>that provide a high quality of life.</w:t>
      </w:r>
    </w:p>
    <w:p w:rsidR="00B05580" w:rsidRPr="00D15614" w:rsidRDefault="00801A36" w:rsidP="00B05580">
      <w:pPr>
        <w:pStyle w:val="Heading1"/>
        <w:numPr>
          <w:ilvl w:val="0"/>
          <w:numId w:val="22"/>
        </w:numPr>
        <w:ind w:left="0" w:firstLine="0"/>
        <w:rPr>
          <w:rFonts w:asciiTheme="minorHAnsi" w:hAnsiTheme="minorHAnsi"/>
          <w:b/>
          <w:color w:val="00B0F0"/>
          <w:sz w:val="26"/>
          <w:szCs w:val="26"/>
        </w:rPr>
      </w:pPr>
      <w:r w:rsidRPr="00D15614">
        <w:rPr>
          <w:rFonts w:asciiTheme="minorHAnsi" w:hAnsiTheme="minorHAnsi"/>
          <w:b/>
          <w:color w:val="00B0F0"/>
          <w:sz w:val="26"/>
          <w:szCs w:val="26"/>
        </w:rPr>
        <w:t>Transit, Transportation, and the Gateway</w:t>
      </w:r>
    </w:p>
    <w:p w:rsidR="00801A36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While </w:t>
      </w:r>
      <w:r w:rsidR="00801A36">
        <w:rPr>
          <w:rFonts w:ascii="Open Sans" w:hAnsi="Open Sans" w:cs="Open Sans"/>
          <w:sz w:val="22"/>
          <w:szCs w:val="22"/>
        </w:rPr>
        <w:t xml:space="preserve">we </w:t>
      </w:r>
      <w:r>
        <w:rPr>
          <w:rFonts w:ascii="Open Sans" w:hAnsi="Open Sans" w:cs="Open Sans"/>
          <w:sz w:val="22"/>
          <w:szCs w:val="22"/>
        </w:rPr>
        <w:t xml:space="preserve">have been </w:t>
      </w:r>
      <w:r w:rsidRPr="00B05580">
        <w:rPr>
          <w:rFonts w:ascii="Open Sans" w:hAnsi="Open Sans" w:cs="Open Sans"/>
          <w:sz w:val="22"/>
          <w:szCs w:val="22"/>
        </w:rPr>
        <w:t>encouraged by the recent progress on public transit</w:t>
      </w:r>
      <w:r>
        <w:rPr>
          <w:rFonts w:ascii="Open Sans" w:hAnsi="Open Sans" w:cs="Open Sans"/>
          <w:sz w:val="22"/>
          <w:szCs w:val="22"/>
        </w:rPr>
        <w:t xml:space="preserve"> and transportation projects in our region</w:t>
      </w:r>
      <w:r w:rsidRPr="00B05580">
        <w:rPr>
          <w:rFonts w:ascii="Open Sans" w:hAnsi="Open Sans" w:cs="Open Sans"/>
          <w:sz w:val="22"/>
          <w:szCs w:val="22"/>
        </w:rPr>
        <w:t xml:space="preserve">, we remain concerned that the competitiveness of our overall economy will </w:t>
      </w:r>
      <w:r w:rsidRPr="00E544D6">
        <w:rPr>
          <w:rFonts w:ascii="Open Sans" w:hAnsi="Open Sans" w:cs="Open Sans"/>
          <w:noProof/>
          <w:sz w:val="22"/>
          <w:szCs w:val="22"/>
        </w:rPr>
        <w:t xml:space="preserve">be </w:t>
      </w:r>
      <w:r w:rsidR="00D15614">
        <w:rPr>
          <w:rFonts w:ascii="Open Sans" w:hAnsi="Open Sans" w:cs="Open Sans"/>
          <w:noProof/>
          <w:sz w:val="22"/>
          <w:szCs w:val="22"/>
        </w:rPr>
        <w:t>adversely</w:t>
      </w:r>
      <w:r w:rsidRPr="00E544D6">
        <w:rPr>
          <w:rFonts w:ascii="Open Sans" w:hAnsi="Open Sans" w:cs="Open Sans"/>
          <w:noProof/>
          <w:sz w:val="22"/>
          <w:szCs w:val="22"/>
        </w:rPr>
        <w:t xml:space="preserve"> </w:t>
      </w:r>
      <w:r w:rsidR="00D15614">
        <w:rPr>
          <w:rFonts w:ascii="Open Sans" w:hAnsi="Open Sans" w:cs="Open Sans"/>
          <w:noProof/>
          <w:sz w:val="22"/>
          <w:szCs w:val="22"/>
        </w:rPr>
        <w:t>affected</w:t>
      </w:r>
      <w:r w:rsidR="00D15614">
        <w:rPr>
          <w:rFonts w:ascii="Open Sans" w:hAnsi="Open Sans" w:cs="Open Sans"/>
          <w:sz w:val="22"/>
          <w:szCs w:val="22"/>
        </w:rPr>
        <w:t xml:space="preserve"> should the provincial g</w:t>
      </w:r>
      <w:r w:rsidRPr="00B05580">
        <w:rPr>
          <w:rFonts w:ascii="Open Sans" w:hAnsi="Open Sans" w:cs="Open Sans"/>
          <w:sz w:val="22"/>
          <w:szCs w:val="22"/>
        </w:rPr>
        <w:t xml:space="preserve">overnment’s </w:t>
      </w:r>
      <w:r w:rsidR="00D15614">
        <w:rPr>
          <w:rFonts w:ascii="Open Sans" w:hAnsi="Open Sans" w:cs="Open Sans"/>
          <w:sz w:val="22"/>
          <w:szCs w:val="22"/>
        </w:rPr>
        <w:t xml:space="preserve">commitment </w:t>
      </w:r>
      <w:r w:rsidR="00801A36">
        <w:rPr>
          <w:rFonts w:ascii="Open Sans" w:hAnsi="Open Sans" w:cs="Open Sans"/>
          <w:sz w:val="22"/>
          <w:szCs w:val="22"/>
        </w:rPr>
        <w:t xml:space="preserve">to the </w:t>
      </w:r>
      <w:r w:rsidR="00D15614">
        <w:rPr>
          <w:rFonts w:ascii="Open Sans" w:hAnsi="Open Sans" w:cs="Open Sans"/>
          <w:sz w:val="22"/>
          <w:szCs w:val="22"/>
        </w:rPr>
        <w:t xml:space="preserve">continuing improvements to the </w:t>
      </w:r>
      <w:r w:rsidR="00801A36">
        <w:rPr>
          <w:rFonts w:ascii="Open Sans" w:hAnsi="Open Sans" w:cs="Open Sans"/>
          <w:sz w:val="22"/>
          <w:szCs w:val="22"/>
        </w:rPr>
        <w:t>Gateway</w:t>
      </w:r>
      <w:r w:rsidR="00D15614">
        <w:rPr>
          <w:rFonts w:ascii="Open Sans" w:hAnsi="Open Sans" w:cs="Open Sans"/>
          <w:sz w:val="22"/>
          <w:szCs w:val="22"/>
        </w:rPr>
        <w:t xml:space="preserve"> wa</w:t>
      </w:r>
      <w:r w:rsidRPr="00B05580">
        <w:rPr>
          <w:rFonts w:ascii="Open Sans" w:hAnsi="Open Sans" w:cs="Open Sans"/>
          <w:sz w:val="22"/>
          <w:szCs w:val="22"/>
        </w:rPr>
        <w:t xml:space="preserve">ver. </w:t>
      </w:r>
    </w:p>
    <w:p w:rsidR="00801A36" w:rsidRDefault="00801A36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5451F0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 w:rsidRPr="00B05580">
        <w:rPr>
          <w:rFonts w:ascii="Open Sans" w:hAnsi="Open Sans" w:cs="Open Sans"/>
          <w:sz w:val="22"/>
          <w:szCs w:val="22"/>
        </w:rPr>
        <w:t>An insufficient transit network compounds Greater Vancouver’s affordability crisis by limiting housing choice</w:t>
      </w:r>
      <w:r w:rsidR="005451F0">
        <w:rPr>
          <w:rFonts w:ascii="Open Sans" w:hAnsi="Open Sans" w:cs="Open Sans"/>
          <w:sz w:val="22"/>
          <w:szCs w:val="22"/>
        </w:rPr>
        <w:t xml:space="preserve">s and transportation options. </w:t>
      </w:r>
      <w:r w:rsidR="00801A36">
        <w:rPr>
          <w:rFonts w:ascii="Open Sans" w:hAnsi="Open Sans" w:cs="Open Sans"/>
          <w:sz w:val="22"/>
          <w:szCs w:val="22"/>
        </w:rPr>
        <w:t xml:space="preserve">Furthermore, constrained goods movement capacity and our shrinking stock of industrial land </w:t>
      </w:r>
      <w:r w:rsidR="00801A36" w:rsidRPr="00E544D6">
        <w:rPr>
          <w:rFonts w:ascii="Open Sans" w:hAnsi="Open Sans" w:cs="Open Sans"/>
          <w:noProof/>
          <w:sz w:val="22"/>
          <w:szCs w:val="22"/>
        </w:rPr>
        <w:t>continue</w:t>
      </w:r>
      <w:r w:rsidR="00801A36">
        <w:rPr>
          <w:rFonts w:ascii="Open Sans" w:hAnsi="Open Sans" w:cs="Open Sans"/>
          <w:sz w:val="22"/>
          <w:szCs w:val="22"/>
        </w:rPr>
        <w:t xml:space="preserve"> to erode </w:t>
      </w:r>
      <w:r w:rsidR="00A162AB">
        <w:rPr>
          <w:rFonts w:ascii="Open Sans" w:hAnsi="Open Sans" w:cs="Open Sans"/>
          <w:sz w:val="22"/>
          <w:szCs w:val="22"/>
        </w:rPr>
        <w:t xml:space="preserve">our natural, competitive advantage as Canada’s </w:t>
      </w:r>
      <w:r w:rsidR="00201CDE">
        <w:rPr>
          <w:rFonts w:ascii="Open Sans" w:hAnsi="Open Sans" w:cs="Open Sans"/>
          <w:sz w:val="22"/>
          <w:szCs w:val="22"/>
        </w:rPr>
        <w:t>Gateway to the Asia Pacific.</w:t>
      </w:r>
      <w:r w:rsidR="00A162AB">
        <w:rPr>
          <w:rFonts w:ascii="Open Sans" w:hAnsi="Open Sans" w:cs="Open Sans"/>
          <w:sz w:val="22"/>
          <w:szCs w:val="22"/>
        </w:rPr>
        <w:t xml:space="preserve"> </w:t>
      </w:r>
    </w:p>
    <w:p w:rsidR="005451F0" w:rsidRDefault="005451F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801A36" w:rsidRDefault="00D15614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We hope this B</w:t>
      </w:r>
      <w:r w:rsidR="005451F0">
        <w:rPr>
          <w:rFonts w:ascii="Open Sans" w:hAnsi="Open Sans" w:cs="Open Sans"/>
          <w:sz w:val="22"/>
          <w:szCs w:val="22"/>
        </w:rPr>
        <w:t>udget will</w:t>
      </w:r>
      <w:r w:rsidR="00B05580" w:rsidRPr="00B05580">
        <w:rPr>
          <w:rFonts w:ascii="Open Sans" w:hAnsi="Open Sans" w:cs="Open Sans"/>
          <w:sz w:val="22"/>
          <w:szCs w:val="22"/>
        </w:rPr>
        <w:t xml:space="preserve"> build on the</w:t>
      </w:r>
      <w:r w:rsidR="005451F0">
        <w:rPr>
          <w:rFonts w:ascii="Open Sans" w:hAnsi="Open Sans" w:cs="Open Sans"/>
          <w:sz w:val="22"/>
          <w:szCs w:val="22"/>
        </w:rPr>
        <w:t xml:space="preserve"> recent</w:t>
      </w:r>
      <w:r w:rsidR="00B05580" w:rsidRPr="00B05580">
        <w:rPr>
          <w:rFonts w:ascii="Open Sans" w:hAnsi="Open Sans" w:cs="Open Sans"/>
          <w:sz w:val="22"/>
          <w:szCs w:val="22"/>
        </w:rPr>
        <w:t xml:space="preserve"> momentum</w:t>
      </w:r>
      <w:r w:rsidR="00801A36">
        <w:rPr>
          <w:rFonts w:ascii="Open Sans" w:hAnsi="Open Sans" w:cs="Open Sans"/>
          <w:sz w:val="22"/>
          <w:szCs w:val="22"/>
        </w:rPr>
        <w:t xml:space="preserve"> and continue to</w:t>
      </w:r>
      <w:r w:rsidR="00201CDE">
        <w:rPr>
          <w:rFonts w:ascii="Open Sans" w:hAnsi="Open Sans" w:cs="Open Sans"/>
          <w:sz w:val="22"/>
          <w:szCs w:val="22"/>
        </w:rPr>
        <w:t xml:space="preserve"> invest</w:t>
      </w:r>
      <w:r w:rsidR="00B05580" w:rsidRPr="00B05580">
        <w:rPr>
          <w:rFonts w:ascii="Open Sans" w:hAnsi="Open Sans" w:cs="Open Sans"/>
          <w:sz w:val="22"/>
          <w:szCs w:val="22"/>
        </w:rPr>
        <w:t xml:space="preserve"> in road and transit expansion and improvements, without subjecting such critical investments to a public referendum</w:t>
      </w:r>
      <w:r w:rsidR="00801A36">
        <w:rPr>
          <w:rFonts w:ascii="Open Sans" w:hAnsi="Open Sans" w:cs="Open Sans"/>
          <w:sz w:val="22"/>
          <w:szCs w:val="22"/>
        </w:rPr>
        <w:t xml:space="preserve">. </w:t>
      </w:r>
    </w:p>
    <w:p w:rsidR="00801A36" w:rsidRDefault="00801A36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801A36" w:rsidRPr="00D15614" w:rsidRDefault="00801A36" w:rsidP="00D15614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The </w:t>
      </w:r>
      <w:r w:rsidR="006C30EC">
        <w:rPr>
          <w:rFonts w:ascii="Open Sans" w:hAnsi="Open Sans" w:cs="Open Sans"/>
          <w:sz w:val="22"/>
          <w:szCs w:val="22"/>
        </w:rPr>
        <w:t xml:space="preserve">GVBOT </w:t>
      </w:r>
      <w:r>
        <w:rPr>
          <w:rFonts w:ascii="Open Sans" w:hAnsi="Open Sans" w:cs="Open Sans"/>
          <w:sz w:val="22"/>
          <w:szCs w:val="22"/>
        </w:rPr>
        <w:t xml:space="preserve">and our region’s business community </w:t>
      </w:r>
      <w:r w:rsidR="006C30EC">
        <w:rPr>
          <w:rFonts w:ascii="Open Sans" w:hAnsi="Open Sans" w:cs="Open Sans"/>
          <w:sz w:val="22"/>
          <w:szCs w:val="22"/>
        </w:rPr>
        <w:t>are</w:t>
      </w:r>
      <w:r>
        <w:rPr>
          <w:rFonts w:ascii="Open Sans" w:hAnsi="Open Sans" w:cs="Open Sans"/>
          <w:sz w:val="22"/>
          <w:szCs w:val="22"/>
        </w:rPr>
        <w:t xml:space="preserve"> especially interested in</w:t>
      </w:r>
      <w:r w:rsidR="00201CDE">
        <w:rPr>
          <w:rFonts w:ascii="Open Sans" w:hAnsi="Open Sans" w:cs="Open Sans"/>
          <w:sz w:val="22"/>
          <w:szCs w:val="22"/>
        </w:rPr>
        <w:t xml:space="preserve"> the</w:t>
      </w:r>
      <w:r>
        <w:rPr>
          <w:rFonts w:ascii="Open Sans" w:hAnsi="Open Sans" w:cs="Open Sans"/>
          <w:sz w:val="22"/>
          <w:szCs w:val="22"/>
        </w:rPr>
        <w:t xml:space="preserve"> continued support </w:t>
      </w:r>
      <w:r w:rsidR="00A162AB">
        <w:rPr>
          <w:rFonts w:ascii="Open Sans" w:hAnsi="Open Sans" w:cs="Open Sans"/>
          <w:sz w:val="22"/>
          <w:szCs w:val="22"/>
        </w:rPr>
        <w:t>for</w:t>
      </w:r>
      <w:r>
        <w:rPr>
          <w:rFonts w:ascii="Open Sans" w:hAnsi="Open Sans" w:cs="Open Sans"/>
          <w:sz w:val="22"/>
          <w:szCs w:val="22"/>
        </w:rPr>
        <w:t xml:space="preserve"> the Mayors’ 10-year vision, </w:t>
      </w:r>
      <w:r w:rsidR="00A162AB">
        <w:rPr>
          <w:rFonts w:ascii="Open Sans" w:hAnsi="Open Sans" w:cs="Open Sans"/>
          <w:sz w:val="22"/>
          <w:szCs w:val="22"/>
        </w:rPr>
        <w:t>progress on both the</w:t>
      </w:r>
      <w:r>
        <w:rPr>
          <w:rFonts w:ascii="Open Sans" w:hAnsi="Open Sans" w:cs="Open Sans"/>
          <w:sz w:val="22"/>
          <w:szCs w:val="22"/>
        </w:rPr>
        <w:t xml:space="preserve"> George Massey Tunnel Replacement</w:t>
      </w:r>
      <w:r w:rsidR="00A162AB">
        <w:rPr>
          <w:rFonts w:ascii="Open Sans" w:hAnsi="Open Sans" w:cs="Open Sans"/>
          <w:sz w:val="22"/>
          <w:szCs w:val="22"/>
        </w:rPr>
        <w:t xml:space="preserve"> Project and</w:t>
      </w:r>
      <w:r>
        <w:rPr>
          <w:rFonts w:ascii="Open Sans" w:hAnsi="Open Sans" w:cs="Open Sans"/>
          <w:sz w:val="22"/>
          <w:szCs w:val="22"/>
        </w:rPr>
        <w:t xml:space="preserve"> the </w:t>
      </w:r>
      <w:proofErr w:type="spellStart"/>
      <w:r>
        <w:rPr>
          <w:rFonts w:ascii="Open Sans" w:hAnsi="Open Sans" w:cs="Open Sans"/>
          <w:sz w:val="22"/>
          <w:szCs w:val="22"/>
        </w:rPr>
        <w:t>Pattullo</w:t>
      </w:r>
      <w:proofErr w:type="spellEnd"/>
      <w:r>
        <w:rPr>
          <w:rFonts w:ascii="Open Sans" w:hAnsi="Open Sans" w:cs="Open Sans"/>
          <w:sz w:val="22"/>
          <w:szCs w:val="22"/>
        </w:rPr>
        <w:t xml:space="preserve"> bridge replacement, </w:t>
      </w:r>
      <w:r w:rsidR="00A162AB">
        <w:rPr>
          <w:rFonts w:ascii="Open Sans" w:hAnsi="Open Sans" w:cs="Open Sans"/>
          <w:sz w:val="22"/>
          <w:szCs w:val="22"/>
        </w:rPr>
        <w:t xml:space="preserve">as well as a </w:t>
      </w:r>
      <w:r w:rsidR="006C30EC">
        <w:rPr>
          <w:rFonts w:ascii="Open Sans" w:hAnsi="Open Sans" w:cs="Open Sans"/>
          <w:sz w:val="22"/>
          <w:szCs w:val="22"/>
        </w:rPr>
        <w:t>clear</w:t>
      </w:r>
      <w:r w:rsidR="00A162AB">
        <w:rPr>
          <w:rFonts w:ascii="Open Sans" w:hAnsi="Open Sans" w:cs="Open Sans"/>
          <w:sz w:val="22"/>
          <w:szCs w:val="22"/>
        </w:rPr>
        <w:t xml:space="preserve"> roadmap for replacing t</w:t>
      </w:r>
      <w:r>
        <w:rPr>
          <w:rFonts w:ascii="Open Sans" w:hAnsi="Open Sans" w:cs="Open Sans"/>
          <w:sz w:val="22"/>
          <w:szCs w:val="22"/>
        </w:rPr>
        <w:t xml:space="preserve">oll revenues from the Golden Ears and </w:t>
      </w:r>
      <w:r w:rsidR="006A453C">
        <w:rPr>
          <w:rFonts w:ascii="Open Sans" w:hAnsi="Open Sans" w:cs="Open Sans"/>
          <w:sz w:val="22"/>
          <w:szCs w:val="22"/>
        </w:rPr>
        <w:t xml:space="preserve">Port Mann </w:t>
      </w:r>
      <w:r w:rsidR="00A162AB">
        <w:rPr>
          <w:rFonts w:ascii="Open Sans" w:hAnsi="Open Sans" w:cs="Open Sans"/>
          <w:sz w:val="22"/>
          <w:szCs w:val="22"/>
        </w:rPr>
        <w:t xml:space="preserve">bridges. </w:t>
      </w:r>
    </w:p>
    <w:p w:rsidR="00DF2C9D" w:rsidRPr="00D15614" w:rsidRDefault="005451F0" w:rsidP="00D15614">
      <w:pPr>
        <w:pStyle w:val="Heading1"/>
        <w:numPr>
          <w:ilvl w:val="0"/>
          <w:numId w:val="22"/>
        </w:numPr>
        <w:ind w:left="0" w:firstLine="0"/>
        <w:rPr>
          <w:rFonts w:asciiTheme="minorHAnsi" w:hAnsiTheme="minorHAnsi"/>
          <w:b/>
          <w:color w:val="00B0F0"/>
          <w:sz w:val="26"/>
          <w:szCs w:val="26"/>
        </w:rPr>
      </w:pPr>
      <w:r w:rsidRPr="00D15614">
        <w:rPr>
          <w:rFonts w:asciiTheme="minorHAnsi" w:hAnsiTheme="minorHAnsi"/>
          <w:b/>
          <w:color w:val="00B0F0"/>
          <w:sz w:val="26"/>
          <w:szCs w:val="26"/>
        </w:rPr>
        <w:t xml:space="preserve">Housing Affordability </w:t>
      </w:r>
    </w:p>
    <w:p w:rsidR="00DF2C9D" w:rsidRDefault="00DF2C9D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It is no secret that the </w:t>
      </w:r>
      <w:r w:rsidR="00D62558">
        <w:rPr>
          <w:rFonts w:ascii="Open Sans" w:hAnsi="Open Sans" w:cs="Open Sans"/>
          <w:sz w:val="22"/>
          <w:szCs w:val="22"/>
        </w:rPr>
        <w:t xml:space="preserve">housing situation in parts of our province </w:t>
      </w:r>
      <w:r w:rsidR="00201CDE">
        <w:rPr>
          <w:rFonts w:ascii="Open Sans" w:hAnsi="Open Sans" w:cs="Open Sans"/>
          <w:sz w:val="22"/>
          <w:szCs w:val="22"/>
        </w:rPr>
        <w:t>is reaching a state of crisis</w:t>
      </w:r>
      <w:r w:rsidR="00D62558">
        <w:rPr>
          <w:rFonts w:ascii="Open Sans" w:hAnsi="Open Sans" w:cs="Open Sans"/>
          <w:sz w:val="22"/>
          <w:szCs w:val="22"/>
        </w:rPr>
        <w:t xml:space="preserve">. Greater Vancouver continues </w:t>
      </w:r>
      <w:r w:rsidR="004010B2">
        <w:rPr>
          <w:rFonts w:ascii="Open Sans" w:hAnsi="Open Sans" w:cs="Open Sans"/>
          <w:sz w:val="22"/>
          <w:szCs w:val="22"/>
        </w:rPr>
        <w:t xml:space="preserve">in </w:t>
      </w:r>
      <w:r w:rsidR="00D62558">
        <w:rPr>
          <w:rFonts w:ascii="Open Sans" w:hAnsi="Open Sans" w:cs="Open Sans"/>
          <w:sz w:val="22"/>
          <w:szCs w:val="22"/>
        </w:rPr>
        <w:t>its unenviable position as one of the least affordable housing markets in the ent</w:t>
      </w:r>
      <w:r w:rsidR="004010B2">
        <w:rPr>
          <w:rFonts w:ascii="Open Sans" w:hAnsi="Open Sans" w:cs="Open Sans"/>
          <w:sz w:val="22"/>
          <w:szCs w:val="22"/>
        </w:rPr>
        <w:t>ire world, with median home</w:t>
      </w:r>
      <w:r w:rsidR="00D62558">
        <w:rPr>
          <w:rFonts w:ascii="Open Sans" w:hAnsi="Open Sans" w:cs="Open Sans"/>
          <w:sz w:val="22"/>
          <w:szCs w:val="22"/>
        </w:rPr>
        <w:t xml:space="preserve"> prices </w:t>
      </w:r>
      <w:r w:rsidR="00E544D6">
        <w:rPr>
          <w:rFonts w:ascii="Open Sans" w:hAnsi="Open Sans" w:cs="Open Sans"/>
          <w:noProof/>
          <w:sz w:val="22"/>
          <w:szCs w:val="22"/>
        </w:rPr>
        <w:t>significan</w:t>
      </w:r>
      <w:r w:rsidR="00D62558" w:rsidRPr="00E544D6">
        <w:rPr>
          <w:rFonts w:ascii="Open Sans" w:hAnsi="Open Sans" w:cs="Open Sans"/>
          <w:noProof/>
          <w:sz w:val="22"/>
          <w:szCs w:val="22"/>
        </w:rPr>
        <w:t>tly</w:t>
      </w:r>
      <w:r w:rsidR="00D62558">
        <w:rPr>
          <w:rFonts w:ascii="Open Sans" w:hAnsi="Open Sans" w:cs="Open Sans"/>
          <w:sz w:val="22"/>
          <w:szCs w:val="22"/>
        </w:rPr>
        <w:t xml:space="preserve"> outstripping median household income. In a recent survey of our membership, 60 </w:t>
      </w:r>
      <w:r w:rsidR="00D62558" w:rsidRPr="00E544D6">
        <w:rPr>
          <w:rFonts w:ascii="Open Sans" w:hAnsi="Open Sans" w:cs="Open Sans"/>
          <w:noProof/>
          <w:sz w:val="22"/>
          <w:szCs w:val="22"/>
        </w:rPr>
        <w:t>per cent</w:t>
      </w:r>
      <w:r w:rsidR="00D62558">
        <w:rPr>
          <w:rFonts w:ascii="Open Sans" w:hAnsi="Open Sans" w:cs="Open Sans"/>
          <w:sz w:val="22"/>
          <w:szCs w:val="22"/>
        </w:rPr>
        <w:t xml:space="preserve"> of respondents agreed that </w:t>
      </w:r>
      <w:r w:rsidR="00E544D6">
        <w:rPr>
          <w:rFonts w:ascii="Open Sans" w:hAnsi="Open Sans" w:cs="Open Sans"/>
          <w:sz w:val="22"/>
          <w:szCs w:val="22"/>
        </w:rPr>
        <w:t xml:space="preserve">affordability issues had affected their </w:t>
      </w:r>
      <w:r w:rsidR="00D62558" w:rsidRPr="00D62558">
        <w:rPr>
          <w:rFonts w:ascii="Open Sans" w:hAnsi="Open Sans" w:cs="Open Sans"/>
          <w:sz w:val="22"/>
          <w:szCs w:val="22"/>
        </w:rPr>
        <w:t>company’s ability to recruit or retain</w:t>
      </w:r>
      <w:r w:rsidR="00D62558">
        <w:rPr>
          <w:rFonts w:ascii="Open Sans" w:hAnsi="Open Sans" w:cs="Open Sans"/>
          <w:sz w:val="22"/>
          <w:szCs w:val="22"/>
        </w:rPr>
        <w:t xml:space="preserve"> </w:t>
      </w:r>
      <w:r w:rsidR="00D62558" w:rsidRPr="00D62558">
        <w:rPr>
          <w:rFonts w:ascii="Open Sans" w:hAnsi="Open Sans" w:cs="Open Sans"/>
          <w:sz w:val="22"/>
          <w:szCs w:val="22"/>
        </w:rPr>
        <w:t>employees</w:t>
      </w:r>
      <w:r w:rsidR="00E544D6">
        <w:rPr>
          <w:rFonts w:ascii="Open Sans" w:hAnsi="Open Sans" w:cs="Open Sans"/>
          <w:sz w:val="22"/>
          <w:szCs w:val="22"/>
        </w:rPr>
        <w:t xml:space="preserve">. </w:t>
      </w:r>
    </w:p>
    <w:p w:rsidR="00D62558" w:rsidRDefault="00D62558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B05580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 lack of affordable housing options</w:t>
      </w:r>
      <w:r w:rsidR="00D62558">
        <w:rPr>
          <w:rFonts w:ascii="Open Sans" w:hAnsi="Open Sans" w:cs="Open Sans"/>
          <w:sz w:val="22"/>
          <w:szCs w:val="22"/>
        </w:rPr>
        <w:t xml:space="preserve"> robs our businesses and communities of the</w:t>
      </w:r>
      <w:r>
        <w:rPr>
          <w:rFonts w:ascii="Open Sans" w:hAnsi="Open Sans" w:cs="Open Sans"/>
          <w:sz w:val="22"/>
          <w:szCs w:val="22"/>
        </w:rPr>
        <w:t>ir</w:t>
      </w:r>
      <w:r w:rsidR="00D62558">
        <w:rPr>
          <w:rFonts w:ascii="Open Sans" w:hAnsi="Open Sans" w:cs="Open Sans"/>
          <w:sz w:val="22"/>
          <w:szCs w:val="22"/>
        </w:rPr>
        <w:t xml:space="preserve"> ability to attract and retain the best and brightest</w:t>
      </w:r>
      <w:r w:rsidR="00E544D6">
        <w:rPr>
          <w:rFonts w:ascii="Open Sans" w:hAnsi="Open Sans" w:cs="Open Sans"/>
          <w:sz w:val="22"/>
          <w:szCs w:val="22"/>
        </w:rPr>
        <w:t xml:space="preserve"> and build a highly productive and prosperous economy. </w:t>
      </w:r>
    </w:p>
    <w:p w:rsidR="00B05580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</w:p>
    <w:p w:rsidR="00D62558" w:rsidRPr="00B05580" w:rsidRDefault="00B05580" w:rsidP="00DB7FFD">
      <w:pPr>
        <w:pStyle w:val="ListParagraph"/>
        <w:ind w:left="1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We hope </w:t>
      </w:r>
      <w:r w:rsidR="00201CDE">
        <w:rPr>
          <w:rFonts w:ascii="Open Sans" w:hAnsi="Open Sans" w:cs="Open Sans"/>
          <w:sz w:val="22"/>
          <w:szCs w:val="22"/>
        </w:rPr>
        <w:t>that this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4010B2">
        <w:rPr>
          <w:rFonts w:ascii="Open Sans" w:hAnsi="Open Sans" w:cs="Open Sans"/>
          <w:sz w:val="22"/>
          <w:szCs w:val="22"/>
        </w:rPr>
        <w:t>Budget will signal strong</w:t>
      </w:r>
      <w:r>
        <w:rPr>
          <w:rFonts w:ascii="Open Sans" w:hAnsi="Open Sans" w:cs="Open Sans"/>
          <w:sz w:val="22"/>
          <w:szCs w:val="22"/>
        </w:rPr>
        <w:t xml:space="preserve"> provincial leadership in working with l</w:t>
      </w:r>
      <w:r w:rsidRPr="00B05580">
        <w:rPr>
          <w:rFonts w:ascii="Open Sans" w:hAnsi="Open Sans" w:cs="Open Sans"/>
          <w:sz w:val="22"/>
          <w:szCs w:val="22"/>
        </w:rPr>
        <w:t xml:space="preserve">ocal governments to </w:t>
      </w:r>
      <w:r w:rsidR="004010B2">
        <w:rPr>
          <w:rFonts w:ascii="Open Sans" w:hAnsi="Open Sans" w:cs="Open Sans"/>
          <w:sz w:val="22"/>
          <w:szCs w:val="22"/>
        </w:rPr>
        <w:t>establish conditions to facilitate</w:t>
      </w:r>
      <w:r w:rsidRPr="00B05580">
        <w:rPr>
          <w:rFonts w:ascii="Open Sans" w:hAnsi="Open Sans" w:cs="Open Sans"/>
          <w:sz w:val="22"/>
          <w:szCs w:val="22"/>
        </w:rPr>
        <w:t xml:space="preserve"> </w:t>
      </w:r>
      <w:r w:rsidRPr="00E544D6">
        <w:rPr>
          <w:rFonts w:ascii="Open Sans" w:hAnsi="Open Sans" w:cs="Open Sans"/>
          <w:noProof/>
          <w:sz w:val="22"/>
          <w:szCs w:val="22"/>
        </w:rPr>
        <w:t>a larger</w:t>
      </w:r>
      <w:r w:rsidRPr="00B05580">
        <w:rPr>
          <w:rFonts w:ascii="Open Sans" w:hAnsi="Open Sans" w:cs="Open Sans"/>
          <w:sz w:val="22"/>
          <w:szCs w:val="22"/>
        </w:rPr>
        <w:t>, more diverse,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05580">
        <w:rPr>
          <w:rFonts w:ascii="Open Sans" w:hAnsi="Open Sans" w:cs="Open Sans"/>
          <w:sz w:val="22"/>
          <w:szCs w:val="22"/>
        </w:rPr>
        <w:t>housing stock, especially for middle-class workers</w:t>
      </w:r>
      <w:r>
        <w:rPr>
          <w:rFonts w:ascii="Open Sans" w:hAnsi="Open Sans" w:cs="Open Sans"/>
          <w:sz w:val="22"/>
          <w:szCs w:val="22"/>
        </w:rPr>
        <w:t>.</w:t>
      </w:r>
    </w:p>
    <w:sectPr w:rsidR="00D62558" w:rsidRPr="00B05580" w:rsidSect="00A94D84">
      <w:headerReference w:type="default" r:id="rId8"/>
      <w:footerReference w:type="even" r:id="rId9"/>
      <w:footerReference w:type="default" r:id="rId10"/>
      <w:type w:val="continuous"/>
      <w:pgSz w:w="12240" w:h="15840" w:code="1"/>
      <w:pgMar w:top="1712" w:right="1440" w:bottom="539" w:left="1440" w:header="567" w:footer="17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8E" w:rsidRDefault="00157E8E">
      <w:r>
        <w:separator/>
      </w:r>
    </w:p>
  </w:endnote>
  <w:endnote w:type="continuationSeparator" w:id="0">
    <w:p w:rsidR="00157E8E" w:rsidRDefault="0015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97" w:rsidRDefault="00A94D84" w:rsidP="00835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3E97" w:rsidRDefault="006A453C" w:rsidP="001615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24236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:rsidR="00D15614" w:rsidRPr="002233B2" w:rsidRDefault="00D15614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2233B2">
          <w:rPr>
            <w:rFonts w:asciiTheme="minorHAnsi" w:hAnsiTheme="minorHAnsi"/>
            <w:sz w:val="20"/>
            <w:szCs w:val="20"/>
          </w:rPr>
          <w:fldChar w:fldCharType="begin"/>
        </w:r>
        <w:r w:rsidRPr="002233B2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2233B2">
          <w:rPr>
            <w:rFonts w:asciiTheme="minorHAnsi" w:hAnsiTheme="minorHAnsi"/>
            <w:sz w:val="20"/>
            <w:szCs w:val="20"/>
          </w:rPr>
          <w:fldChar w:fldCharType="separate"/>
        </w:r>
        <w:r w:rsidR="006A453C">
          <w:rPr>
            <w:rFonts w:asciiTheme="minorHAnsi" w:hAnsiTheme="minorHAnsi"/>
            <w:noProof/>
            <w:sz w:val="20"/>
            <w:szCs w:val="20"/>
          </w:rPr>
          <w:t>2</w:t>
        </w:r>
        <w:r w:rsidRPr="002233B2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:rsidR="008D3E97" w:rsidRPr="00451844" w:rsidRDefault="006A453C" w:rsidP="00B47051">
    <w:pPr>
      <w:pStyle w:val="Footer"/>
      <w:tabs>
        <w:tab w:val="clear" w:pos="4320"/>
        <w:tab w:val="center" w:pos="3708"/>
        <w:tab w:val="center" w:pos="7020"/>
        <w:tab w:val="right" w:pos="7416"/>
      </w:tabs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8E" w:rsidRDefault="00157E8E">
      <w:r>
        <w:separator/>
      </w:r>
    </w:p>
  </w:footnote>
  <w:footnote w:type="continuationSeparator" w:id="0">
    <w:p w:rsidR="00157E8E" w:rsidRDefault="0015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97" w:rsidRDefault="00A94D84">
    <w:pPr>
      <w:pStyle w:val="Header"/>
      <w:tabs>
        <w:tab w:val="clear" w:pos="8640"/>
        <w:tab w:val="right" w:pos="9180"/>
      </w:tabs>
      <w:spacing w:line="120" w:lineRule="auto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5F55ABE3" wp14:editId="74B007CA">
          <wp:simplePos x="0" y="0"/>
          <wp:positionH relativeFrom="column">
            <wp:posOffset>-561975</wp:posOffset>
          </wp:positionH>
          <wp:positionV relativeFrom="paragraph">
            <wp:posOffset>-74295</wp:posOffset>
          </wp:positionV>
          <wp:extent cx="7072728" cy="578941"/>
          <wp:effectExtent l="19050" t="0" r="0" b="0"/>
          <wp:wrapNone/>
          <wp:docPr id="1" name="Picture 1" descr="W:\Docs\COMDESN\LETTERHEAD\memo-letterhead-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Docs\COMDESN\LETTERHEAD\memo-letterhead-2016.pn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2728" cy="5789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6A453C">
    <w:pPr>
      <w:pStyle w:val="Header"/>
      <w:tabs>
        <w:tab w:val="clear" w:pos="8640"/>
        <w:tab w:val="right" w:pos="9180"/>
      </w:tabs>
      <w:spacing w:line="120" w:lineRule="auto"/>
    </w:pPr>
  </w:p>
  <w:p w:rsidR="008D3E97" w:rsidRDefault="00A94D84">
    <w:pPr>
      <w:pStyle w:val="Header"/>
      <w:tabs>
        <w:tab w:val="clear" w:pos="8640"/>
        <w:tab w:val="right" w:pos="9180"/>
      </w:tabs>
      <w:spacing w:line="120" w:lineRule="auto"/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C4"/>
    <w:multiLevelType w:val="hybridMultilevel"/>
    <w:tmpl w:val="678257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57E5"/>
    <w:multiLevelType w:val="hybridMultilevel"/>
    <w:tmpl w:val="744E4D3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965B5D"/>
    <w:multiLevelType w:val="hybridMultilevel"/>
    <w:tmpl w:val="73761A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714C"/>
    <w:multiLevelType w:val="hybridMultilevel"/>
    <w:tmpl w:val="842AE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13E8"/>
    <w:multiLevelType w:val="hybridMultilevel"/>
    <w:tmpl w:val="99AE1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A67D8"/>
    <w:multiLevelType w:val="hybridMultilevel"/>
    <w:tmpl w:val="09BA8AD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02D72"/>
    <w:multiLevelType w:val="hybridMultilevel"/>
    <w:tmpl w:val="5FD25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65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046BD1"/>
    <w:multiLevelType w:val="hybridMultilevel"/>
    <w:tmpl w:val="17EC0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4596E"/>
    <w:multiLevelType w:val="hybridMultilevel"/>
    <w:tmpl w:val="6DD853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FBA"/>
    <w:multiLevelType w:val="hybridMultilevel"/>
    <w:tmpl w:val="1D76A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2A47"/>
    <w:multiLevelType w:val="hybridMultilevel"/>
    <w:tmpl w:val="5DC6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51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4820F22"/>
    <w:multiLevelType w:val="hybridMultilevel"/>
    <w:tmpl w:val="91D289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42B6"/>
    <w:multiLevelType w:val="hybridMultilevel"/>
    <w:tmpl w:val="5456D8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01BF"/>
    <w:multiLevelType w:val="hybridMultilevel"/>
    <w:tmpl w:val="494AF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B7312"/>
    <w:multiLevelType w:val="hybridMultilevel"/>
    <w:tmpl w:val="8940D9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2004B"/>
    <w:multiLevelType w:val="multilevel"/>
    <w:tmpl w:val="D83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C66B9D"/>
    <w:multiLevelType w:val="hybridMultilevel"/>
    <w:tmpl w:val="5A2EEC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C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933472"/>
    <w:multiLevelType w:val="hybridMultilevel"/>
    <w:tmpl w:val="549EB3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F236B"/>
    <w:multiLevelType w:val="hybridMultilevel"/>
    <w:tmpl w:val="CD060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2"/>
  </w:num>
  <w:num w:numId="5">
    <w:abstractNumId w:val="16"/>
  </w:num>
  <w:num w:numId="6">
    <w:abstractNumId w:val="20"/>
  </w:num>
  <w:num w:numId="7">
    <w:abstractNumId w:val="9"/>
  </w:num>
  <w:num w:numId="8">
    <w:abstractNumId w:val="14"/>
  </w:num>
  <w:num w:numId="9">
    <w:abstractNumId w:val="1"/>
  </w:num>
  <w:num w:numId="10">
    <w:abstractNumId w:val="21"/>
  </w:num>
  <w:num w:numId="11">
    <w:abstractNumId w:val="6"/>
  </w:num>
  <w:num w:numId="12">
    <w:abstractNumId w:val="18"/>
  </w:num>
  <w:num w:numId="13">
    <w:abstractNumId w:val="0"/>
  </w:num>
  <w:num w:numId="14">
    <w:abstractNumId w:val="11"/>
  </w:num>
  <w:num w:numId="15">
    <w:abstractNumId w:val="17"/>
  </w:num>
  <w:num w:numId="16">
    <w:abstractNumId w:val="15"/>
  </w:num>
  <w:num w:numId="17">
    <w:abstractNumId w:val="5"/>
  </w:num>
  <w:num w:numId="18">
    <w:abstractNumId w:val="4"/>
  </w:num>
  <w:num w:numId="19">
    <w:abstractNumId w:val="10"/>
  </w:num>
  <w:num w:numId="20">
    <w:abstractNumId w:val="3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3NbcwNDayNLU0szRX0lEKTi0uzszPAykwqgUAAimKmCwAAAA="/>
  </w:docVars>
  <w:rsids>
    <w:rsidRoot w:val="00A94D84"/>
    <w:rsid w:val="00024A7E"/>
    <w:rsid w:val="000921AE"/>
    <w:rsid w:val="00157E8E"/>
    <w:rsid w:val="001F2C74"/>
    <w:rsid w:val="00201CDE"/>
    <w:rsid w:val="002233B2"/>
    <w:rsid w:val="00237675"/>
    <w:rsid w:val="003D5A53"/>
    <w:rsid w:val="004010B2"/>
    <w:rsid w:val="004F49EF"/>
    <w:rsid w:val="005451F0"/>
    <w:rsid w:val="00567020"/>
    <w:rsid w:val="006A453C"/>
    <w:rsid w:val="006C30EC"/>
    <w:rsid w:val="007C6899"/>
    <w:rsid w:val="00801A36"/>
    <w:rsid w:val="009C796F"/>
    <w:rsid w:val="00A162AB"/>
    <w:rsid w:val="00A94D84"/>
    <w:rsid w:val="00B05580"/>
    <w:rsid w:val="00B80369"/>
    <w:rsid w:val="00C232DF"/>
    <w:rsid w:val="00CF3E42"/>
    <w:rsid w:val="00D15614"/>
    <w:rsid w:val="00D62558"/>
    <w:rsid w:val="00DB7FFD"/>
    <w:rsid w:val="00DE0CD2"/>
    <w:rsid w:val="00DF2C9D"/>
    <w:rsid w:val="00E544D6"/>
    <w:rsid w:val="00EC6FB7"/>
    <w:rsid w:val="00F11947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F888"/>
  <w15:docId w15:val="{23A4E879-06F6-485F-8C70-EB150AEB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79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14"/>
    <w:pPr>
      <w:keepNext/>
      <w:keepLines/>
      <w:spacing w:before="360" w:after="20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791B"/>
    <w:rPr>
      <w:szCs w:val="20"/>
      <w:lang w:val="en-CA"/>
    </w:rPr>
  </w:style>
  <w:style w:type="character" w:styleId="Hyperlink">
    <w:name w:val="Hyperlink"/>
    <w:basedOn w:val="DefaultParagraphFont"/>
    <w:uiPriority w:val="99"/>
    <w:rsid w:val="00B8791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8791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1354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7E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615F6"/>
  </w:style>
  <w:style w:type="character" w:customStyle="1" w:styleId="FooterChar">
    <w:name w:val="Footer Char"/>
    <w:basedOn w:val="DefaultParagraphFont"/>
    <w:link w:val="Footer"/>
    <w:uiPriority w:val="99"/>
    <w:rsid w:val="00BA50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039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17F65"/>
    <w:rPr>
      <w:sz w:val="24"/>
      <w:szCs w:val="24"/>
    </w:rPr>
  </w:style>
  <w:style w:type="paragraph" w:customStyle="1" w:styleId="Default">
    <w:name w:val="Default"/>
    <w:basedOn w:val="Normal"/>
    <w:uiPriority w:val="99"/>
    <w:rsid w:val="00C92BB9"/>
    <w:pPr>
      <w:autoSpaceDE w:val="0"/>
      <w:autoSpaceDN w:val="0"/>
    </w:pPr>
    <w:rPr>
      <w:rFonts w:ascii="Arial" w:eastAsiaTheme="minorHAnsi" w:hAnsi="Arial" w:cs="Arial"/>
      <w:color w:val="000000"/>
      <w:lang w:val="en-CA"/>
    </w:rPr>
  </w:style>
  <w:style w:type="paragraph" w:styleId="NormalWeb">
    <w:name w:val="Normal (Web)"/>
    <w:basedOn w:val="Normal"/>
    <w:uiPriority w:val="99"/>
    <w:unhideWhenUsed/>
    <w:rsid w:val="00C92BB9"/>
    <w:pPr>
      <w:spacing w:before="100" w:beforeAutospacing="1" w:after="100" w:afterAutospacing="1"/>
    </w:pPr>
    <w:rPr>
      <w:lang w:val="en-CA" w:eastAsia="en-CA"/>
    </w:rPr>
  </w:style>
  <w:style w:type="paragraph" w:styleId="EndnoteText">
    <w:name w:val="endnote text"/>
    <w:basedOn w:val="Normal"/>
    <w:link w:val="EndnoteTextChar"/>
    <w:uiPriority w:val="99"/>
    <w:unhideWhenUsed/>
    <w:rsid w:val="00C92BB9"/>
    <w:rPr>
      <w:rFonts w:ascii="Calibri" w:eastAsiaTheme="minorHAnsi" w:hAnsi="Calibri"/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2BB9"/>
    <w:rPr>
      <w:rFonts w:ascii="Calibri" w:eastAsiaTheme="minorHAnsi" w:hAnsi="Calibri"/>
      <w:lang w:val="en-CA"/>
    </w:rPr>
  </w:style>
  <w:style w:type="character" w:styleId="EndnoteReference">
    <w:name w:val="endnote reference"/>
    <w:basedOn w:val="DefaultParagraphFont"/>
    <w:uiPriority w:val="99"/>
    <w:unhideWhenUsed/>
    <w:rsid w:val="00C92BB9"/>
    <w:rPr>
      <w:vertAlign w:val="superscript"/>
    </w:rPr>
  </w:style>
  <w:style w:type="paragraph" w:customStyle="1" w:styleId="Style-1">
    <w:name w:val="Style-1"/>
    <w:basedOn w:val="Normal"/>
    <w:uiPriority w:val="99"/>
    <w:rsid w:val="00CD5C41"/>
    <w:rPr>
      <w:rFonts w:eastAsia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6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D3C8-0DFA-4C95-93E0-E85EB47D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Board of Trade</Company>
  <LinksUpToDate>false</LinksUpToDate>
  <CharactersWithSpaces>4679</CharactersWithSpaces>
  <SharedDoc>false</SharedDoc>
  <HLinks>
    <vt:vector size="12" baseType="variant">
      <vt:variant>
        <vt:i4>5308516</vt:i4>
      </vt:variant>
      <vt:variant>
        <vt:i4>35</vt:i4>
      </vt:variant>
      <vt:variant>
        <vt:i4>0</vt:i4>
      </vt:variant>
      <vt:variant>
        <vt:i4>5</vt:i4>
      </vt:variant>
      <vt:variant>
        <vt:lpwstr>mailto:mbraungart@boardoftrade.com</vt:lpwstr>
      </vt:variant>
      <vt:variant>
        <vt:lpwstr/>
      </vt:variant>
      <vt:variant>
        <vt:i4>5374044</vt:i4>
      </vt:variant>
      <vt:variant>
        <vt:i4>32</vt:i4>
      </vt:variant>
      <vt:variant>
        <vt:i4>0</vt:i4>
      </vt:variant>
      <vt:variant>
        <vt:i4>5</vt:i4>
      </vt:variant>
      <vt:variant>
        <vt:lpwstr>http://www.boardoftrade.com/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Lam</dc:creator>
  <cp:lastModifiedBy>Karen Graham</cp:lastModifiedBy>
  <cp:revision>5</cp:revision>
  <cp:lastPrinted>2018-02-05T22:10:00Z</cp:lastPrinted>
  <dcterms:created xsi:type="dcterms:W3CDTF">2018-02-05T22:55:00Z</dcterms:created>
  <dcterms:modified xsi:type="dcterms:W3CDTF">2018-02-19T20:07:00Z</dcterms:modified>
</cp:coreProperties>
</file>